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209" w:rsidRPr="00440893" w:rsidRDefault="006C2209" w:rsidP="006C2209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潍坊学院教务处</w:t>
      </w:r>
    </w:p>
    <w:p w:rsidR="006C2209" w:rsidRDefault="006C2209" w:rsidP="006C2209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6C2209" w:rsidRDefault="006C2209" w:rsidP="00B206CA">
      <w:pPr>
        <w:spacing w:beforeLines="100" w:before="312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 xml:space="preserve">   </w:t>
      </w:r>
      <w:r w:rsidRPr="00F4188B">
        <w:rPr>
          <w:rFonts w:ascii="仿宋" w:eastAsia="仿宋" w:hAnsi="仿宋" w:cs="仿宋" w:hint="eastAsia"/>
          <w:sz w:val="32"/>
          <w:szCs w:val="32"/>
        </w:rPr>
        <w:t>教务处</w:t>
      </w:r>
      <w:r w:rsidR="006E551B" w:rsidRPr="006E551B">
        <w:rPr>
          <w:rFonts w:ascii="仿宋" w:eastAsia="仿宋" w:hAnsi="仿宋" w:cs="仿宋" w:hint="eastAsia"/>
          <w:sz w:val="32"/>
          <w:szCs w:val="32"/>
        </w:rPr>
        <w:t>〔2020〕</w:t>
      </w:r>
      <w:r w:rsidR="00F52133">
        <w:rPr>
          <w:rFonts w:ascii="仿宋" w:eastAsia="仿宋" w:hAnsi="仿宋" w:cs="仿宋"/>
          <w:sz w:val="32"/>
          <w:szCs w:val="32"/>
        </w:rPr>
        <w:t>15</w:t>
      </w:r>
      <w:r w:rsidR="006E551B">
        <w:rPr>
          <w:rFonts w:ascii="仿宋" w:eastAsia="仿宋" w:hAnsi="仿宋" w:cs="仿宋"/>
          <w:sz w:val="32"/>
          <w:szCs w:val="32"/>
        </w:rPr>
        <w:t>5</w:t>
      </w:r>
      <w:r w:rsidRPr="00F4188B">
        <w:rPr>
          <w:rFonts w:ascii="仿宋" w:eastAsia="仿宋" w:hAnsi="仿宋" w:cs="仿宋" w:hint="eastAsia"/>
          <w:sz w:val="32"/>
          <w:szCs w:val="32"/>
        </w:rPr>
        <w:t>号</w:t>
      </w:r>
    </w:p>
    <w:p w:rsidR="00EA0B55" w:rsidRPr="006E551B" w:rsidRDefault="00EA0B55" w:rsidP="00F70334">
      <w:pPr>
        <w:spacing w:line="578" w:lineRule="exact"/>
        <w:jc w:val="center"/>
        <w:rPr>
          <w:rFonts w:ascii="方正小标宋_GBK" w:eastAsia="方正小标宋_GBK" w:hAnsi="黑体" w:cs="方正小标宋_GBK" w:hint="eastAsia"/>
          <w:sz w:val="40"/>
          <w:szCs w:val="44"/>
        </w:rPr>
      </w:pPr>
      <w:r w:rsidRPr="006E551B">
        <w:rPr>
          <w:rFonts w:ascii="方正小标宋_GBK" w:eastAsia="方正小标宋_GBK" w:hAnsi="黑体" w:cs="方正小标宋_GBK" w:hint="eastAsia"/>
          <w:sz w:val="40"/>
          <w:szCs w:val="44"/>
        </w:rPr>
        <w:t>关于</w:t>
      </w:r>
      <w:r w:rsidR="008F6F93" w:rsidRPr="006E551B">
        <w:rPr>
          <w:rFonts w:ascii="方正小标宋_GBK" w:eastAsia="方正小标宋_GBK" w:hAnsi="黑体" w:cs="方正小标宋_GBK" w:hint="eastAsia"/>
          <w:sz w:val="40"/>
          <w:szCs w:val="44"/>
        </w:rPr>
        <w:t>对</w:t>
      </w:r>
      <w:r w:rsidR="003B3EF5" w:rsidRPr="006E551B">
        <w:rPr>
          <w:rFonts w:ascii="方正小标宋_GBK" w:eastAsia="方正小标宋_GBK" w:hAnsi="黑体" w:cs="方正小标宋_GBK" w:hint="eastAsia"/>
          <w:sz w:val="40"/>
          <w:szCs w:val="44"/>
        </w:rPr>
        <w:t>本学期开展线上线下</w:t>
      </w:r>
      <w:r w:rsidR="008F6F93" w:rsidRPr="006E551B">
        <w:rPr>
          <w:rFonts w:ascii="方正小标宋_GBK" w:eastAsia="方正小标宋_GBK" w:hAnsi="黑体" w:cs="方正小标宋_GBK" w:hint="eastAsia"/>
          <w:sz w:val="40"/>
          <w:szCs w:val="44"/>
        </w:rPr>
        <w:t>混合</w:t>
      </w:r>
      <w:r w:rsidR="003B3EF5" w:rsidRPr="006E551B">
        <w:rPr>
          <w:rFonts w:ascii="方正小标宋_GBK" w:eastAsia="方正小标宋_GBK" w:hAnsi="黑体" w:cs="方正小标宋_GBK" w:hint="eastAsia"/>
          <w:sz w:val="40"/>
          <w:szCs w:val="44"/>
        </w:rPr>
        <w:t>式</w:t>
      </w:r>
      <w:r w:rsidR="008F6F93" w:rsidRPr="006E551B">
        <w:rPr>
          <w:rFonts w:ascii="方正小标宋_GBK" w:eastAsia="方正小标宋_GBK" w:hAnsi="黑体" w:cs="方正小标宋_GBK" w:hint="eastAsia"/>
          <w:sz w:val="40"/>
          <w:szCs w:val="44"/>
        </w:rPr>
        <w:t>教学课程</w:t>
      </w:r>
      <w:r w:rsidR="003B3EF5" w:rsidRPr="006E551B">
        <w:rPr>
          <w:rFonts w:ascii="方正小标宋_GBK" w:eastAsia="方正小标宋_GBK" w:hAnsi="黑体" w:cs="方正小标宋_GBK" w:hint="eastAsia"/>
          <w:sz w:val="40"/>
          <w:szCs w:val="44"/>
        </w:rPr>
        <w:t>线上教学</w:t>
      </w:r>
      <w:r w:rsidR="00FF4EA3" w:rsidRPr="006E551B">
        <w:rPr>
          <w:rFonts w:ascii="方正小标宋_GBK" w:eastAsia="方正小标宋_GBK" w:hAnsi="黑体" w:cs="方正小标宋_GBK" w:hint="eastAsia"/>
          <w:sz w:val="40"/>
          <w:szCs w:val="44"/>
        </w:rPr>
        <w:t>中期线上监控</w:t>
      </w:r>
      <w:r w:rsidR="008F6F93" w:rsidRPr="006E551B">
        <w:rPr>
          <w:rFonts w:ascii="方正小标宋_GBK" w:eastAsia="方正小标宋_GBK" w:hAnsi="黑体" w:cs="方正小标宋_GBK" w:hint="eastAsia"/>
          <w:sz w:val="40"/>
          <w:szCs w:val="44"/>
        </w:rPr>
        <w:t>情况通报</w:t>
      </w:r>
    </w:p>
    <w:p w:rsidR="00EA0B55" w:rsidRDefault="00EA0B55" w:rsidP="004F13D5">
      <w:pPr>
        <w:rPr>
          <w:rFonts w:asciiTheme="minorEastAsia" w:hAnsiTheme="minorEastAsia"/>
          <w:sz w:val="22"/>
        </w:rPr>
      </w:pPr>
      <w:bookmarkStart w:id="0" w:name="_GoBack"/>
      <w:bookmarkEnd w:id="0"/>
    </w:p>
    <w:p w:rsidR="004F13D5" w:rsidRPr="008F6F93" w:rsidRDefault="004F13D5" w:rsidP="004F13D5">
      <w:pPr>
        <w:rPr>
          <w:rFonts w:ascii="仿宋" w:eastAsia="仿宋" w:hAnsi="仿宋" w:cs="Times New Roman"/>
          <w:color w:val="333333"/>
          <w:sz w:val="32"/>
          <w:szCs w:val="32"/>
        </w:rPr>
      </w:pPr>
      <w:r w:rsidRPr="008F6F93">
        <w:rPr>
          <w:rFonts w:ascii="仿宋" w:eastAsia="仿宋" w:hAnsi="仿宋" w:cs="Times New Roman"/>
          <w:color w:val="333333"/>
          <w:sz w:val="32"/>
          <w:szCs w:val="32"/>
        </w:rPr>
        <w:t>各学院：</w:t>
      </w:r>
    </w:p>
    <w:p w:rsidR="009D183D" w:rsidRPr="008F6F93" w:rsidRDefault="004F13D5" w:rsidP="00A876E7">
      <w:pPr>
        <w:pStyle w:val="a3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="Times New Roman"/>
          <w:color w:val="333333"/>
          <w:sz w:val="32"/>
          <w:szCs w:val="32"/>
        </w:rPr>
      </w:pPr>
      <w:r w:rsidRPr="008F6F93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根据</w:t>
      </w:r>
      <w:r w:rsid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学校教务处</w:t>
      </w:r>
      <w:r w:rsidRPr="008F6F93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《关于2020-2021第1学期线上线下混合式教学有关工作的通知》</w:t>
      </w:r>
      <w:r w:rsid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和《</w:t>
      </w:r>
      <w:r w:rsidR="003B3EF5" w:rsidRP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关于批准</w:t>
      </w:r>
      <w:r w:rsid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&lt;</w:t>
      </w:r>
      <w:r w:rsidR="003B3EF5" w:rsidRP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运动生理学</w:t>
      </w:r>
      <w:r w:rsid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&gt;</w:t>
      </w:r>
      <w:r w:rsidR="003B3EF5" w:rsidRP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等285门次课程本学期开展线上线下混合式教学的通知</w:t>
      </w:r>
      <w:r w:rsidR="003B3EF5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》</w:t>
      </w:r>
      <w:r w:rsidRPr="008F6F93">
        <w:rPr>
          <w:rFonts w:ascii="仿宋" w:eastAsia="仿宋" w:hAnsi="仿宋" w:cs="Times New Roman" w:hint="eastAsia"/>
          <w:color w:val="333333"/>
          <w:kern w:val="2"/>
          <w:sz w:val="32"/>
          <w:szCs w:val="32"/>
        </w:rPr>
        <w:t>要求，</w:t>
      </w:r>
      <w:r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学校</w:t>
      </w:r>
      <w:r w:rsidR="00AA0D8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对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本学期开学前八周</w:t>
      </w:r>
      <w:r w:rsidR="00717F8D">
        <w:rPr>
          <w:rFonts w:ascii="仿宋" w:eastAsia="仿宋" w:hAnsi="仿宋" w:cs="Times New Roman" w:hint="eastAsia"/>
          <w:color w:val="333333"/>
          <w:sz w:val="32"/>
          <w:szCs w:val="32"/>
        </w:rPr>
        <w:t>开展</w:t>
      </w:r>
      <w:r w:rsidR="00A876E7" w:rsidRPr="006C2209">
        <w:rPr>
          <w:rFonts w:ascii="仿宋" w:eastAsia="仿宋" w:hAnsi="仿宋" w:cs="Times New Roman" w:hint="eastAsia"/>
          <w:color w:val="333333"/>
          <w:sz w:val="32"/>
          <w:szCs w:val="32"/>
        </w:rPr>
        <w:t>线上线下混合式教学的2</w:t>
      </w:r>
      <w:r w:rsidR="00A876E7" w:rsidRPr="006C2209">
        <w:rPr>
          <w:rFonts w:ascii="仿宋" w:eastAsia="仿宋" w:hAnsi="仿宋" w:cs="Times New Roman"/>
          <w:color w:val="333333"/>
          <w:sz w:val="32"/>
          <w:szCs w:val="32"/>
        </w:rPr>
        <w:t>85门</w:t>
      </w:r>
      <w:r w:rsidR="00B206CA">
        <w:rPr>
          <w:rFonts w:ascii="仿宋" w:eastAsia="仿宋" w:hAnsi="仿宋" w:cs="Times New Roman" w:hint="eastAsia"/>
          <w:color w:val="333333"/>
          <w:sz w:val="32"/>
          <w:szCs w:val="32"/>
        </w:rPr>
        <w:t>次</w:t>
      </w:r>
      <w:r w:rsidR="00A876E7" w:rsidRPr="006C2209">
        <w:rPr>
          <w:rFonts w:ascii="仿宋" w:eastAsia="仿宋" w:hAnsi="仿宋" w:cs="Times New Roman"/>
          <w:color w:val="333333"/>
          <w:sz w:val="32"/>
          <w:szCs w:val="32"/>
        </w:rPr>
        <w:t>课程</w:t>
      </w:r>
      <w:r w:rsidR="00AA0D8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开展在线督导</w:t>
      </w:r>
      <w:r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监控。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通过线上教学</w:t>
      </w:r>
      <w:r w:rsidR="0022122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平台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的后台数据情况，</w:t>
      </w:r>
      <w:r w:rsidR="0022122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从线上通知、讨论、作业、考试、学生完成度等多个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维度</w:t>
      </w:r>
      <w:r w:rsidR="0022122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进行数据统计分析。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现将有关情况通报如下：</w:t>
      </w:r>
    </w:p>
    <w:p w:rsidR="009D183D" w:rsidRPr="008F6F93" w:rsidRDefault="003B3EF5" w:rsidP="004F13D5">
      <w:pPr>
        <w:widowControl/>
        <w:spacing w:line="360" w:lineRule="auto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1.</w:t>
      </w:r>
      <w:r w:rsidR="0022122D" w:rsidRPr="008F6F93">
        <w:rPr>
          <w:rFonts w:ascii="仿宋" w:eastAsia="仿宋" w:hAnsi="仿宋" w:cs="Times New Roman"/>
          <w:color w:val="333333"/>
          <w:sz w:val="32"/>
          <w:szCs w:val="32"/>
        </w:rPr>
        <w:t>使用超星平台进行授课的</w:t>
      </w:r>
      <w:r w:rsidR="0022122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1</w:t>
      </w:r>
      <w:r w:rsidR="0022122D" w:rsidRPr="008F6F93">
        <w:rPr>
          <w:rFonts w:ascii="仿宋" w:eastAsia="仿宋" w:hAnsi="仿宋" w:cs="Times New Roman"/>
          <w:color w:val="333333"/>
          <w:sz w:val="32"/>
          <w:szCs w:val="32"/>
        </w:rPr>
        <w:t>50门课程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中</w:t>
      </w:r>
      <w:r w:rsidR="0022122D" w:rsidRPr="008F6F93">
        <w:rPr>
          <w:rFonts w:ascii="仿宋" w:eastAsia="仿宋" w:hAnsi="仿宋" w:cs="Times New Roman"/>
          <w:color w:val="333333"/>
          <w:sz w:val="32"/>
          <w:szCs w:val="32"/>
        </w:rPr>
        <w:t>，</w:t>
      </w:r>
      <w:r w:rsidR="009D183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达到混合教学基本要求的有6</w:t>
      </w:r>
      <w:r w:rsidR="009D183D" w:rsidRPr="008F6F93">
        <w:rPr>
          <w:rFonts w:ascii="仿宋" w:eastAsia="仿宋" w:hAnsi="仿宋" w:cs="Times New Roman"/>
          <w:color w:val="333333"/>
          <w:sz w:val="32"/>
          <w:szCs w:val="32"/>
        </w:rPr>
        <w:t>9门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（详见附件</w:t>
      </w:r>
      <w:r>
        <w:rPr>
          <w:rFonts w:ascii="仿宋" w:eastAsia="仿宋" w:hAnsi="仿宋" w:cs="Times New Roman"/>
          <w:color w:val="333333"/>
          <w:sz w:val="32"/>
          <w:szCs w:val="32"/>
        </w:rPr>
        <w:t>）</w:t>
      </w:r>
      <w:r w:rsidR="009D183D" w:rsidRPr="008F6F93">
        <w:rPr>
          <w:rFonts w:ascii="仿宋" w:eastAsia="仿宋" w:hAnsi="仿宋" w:cs="Times New Roman"/>
          <w:color w:val="333333"/>
          <w:sz w:val="32"/>
          <w:szCs w:val="32"/>
        </w:rPr>
        <w:t>，其中运行较好的</w:t>
      </w:r>
      <w:r w:rsidR="009D183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3</w:t>
      </w:r>
      <w:r w:rsidR="009D183D" w:rsidRPr="008F6F93">
        <w:rPr>
          <w:rFonts w:ascii="仿宋" w:eastAsia="仿宋" w:hAnsi="仿宋" w:cs="Times New Roman"/>
          <w:color w:val="333333"/>
          <w:sz w:val="32"/>
          <w:szCs w:val="32"/>
        </w:rPr>
        <w:t>0门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；有81门课程的数据未达到线上运行的基本要求，</w:t>
      </w:r>
      <w:r w:rsidR="006C2209">
        <w:rPr>
          <w:rFonts w:ascii="仿宋" w:eastAsia="仿宋" w:hAnsi="仿宋" w:cs="Times New Roman" w:hint="eastAsia"/>
          <w:color w:val="333333"/>
          <w:sz w:val="32"/>
          <w:szCs w:val="32"/>
        </w:rPr>
        <w:t>其中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有</w:t>
      </w:r>
      <w:r w:rsidR="006C2209">
        <w:rPr>
          <w:rFonts w:ascii="仿宋" w:eastAsia="仿宋" w:hAnsi="仿宋" w:cs="Times New Roman"/>
          <w:color w:val="333333"/>
          <w:sz w:val="32"/>
          <w:szCs w:val="32"/>
        </w:rPr>
        <w:t>15</w:t>
      </w:r>
      <w:r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门课程运行数据为零</w:t>
      </w:r>
      <w:r w:rsidR="009D183D" w:rsidRPr="008F6F93">
        <w:rPr>
          <w:rFonts w:ascii="仿宋" w:eastAsia="仿宋" w:hAnsi="仿宋" w:cs="Times New Roman"/>
          <w:color w:val="333333"/>
          <w:sz w:val="32"/>
          <w:szCs w:val="32"/>
        </w:rPr>
        <w:t>。</w:t>
      </w:r>
    </w:p>
    <w:p w:rsidR="002266FD" w:rsidRPr="008F6F93" w:rsidRDefault="003B3EF5" w:rsidP="004F13D5">
      <w:pPr>
        <w:widowControl/>
        <w:spacing w:line="360" w:lineRule="auto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2.</w:t>
      </w:r>
      <w:r w:rsidR="00101067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使用智慧树平台的课程1</w:t>
      </w:r>
      <w:r w:rsidR="00101067" w:rsidRPr="008F6F93">
        <w:rPr>
          <w:rFonts w:ascii="仿宋" w:eastAsia="仿宋" w:hAnsi="仿宋" w:cs="Times New Roman"/>
          <w:color w:val="333333"/>
          <w:sz w:val="32"/>
          <w:szCs w:val="32"/>
        </w:rPr>
        <w:t>29门</w:t>
      </w:r>
      <w:r w:rsidR="002E7DE0" w:rsidRPr="008F6F93">
        <w:rPr>
          <w:rFonts w:ascii="仿宋" w:eastAsia="仿宋" w:hAnsi="仿宋" w:cs="Times New Roman"/>
          <w:color w:val="333333"/>
          <w:sz w:val="32"/>
          <w:szCs w:val="32"/>
        </w:rPr>
        <w:t>，达到</w:t>
      </w:r>
      <w:r w:rsidR="00B670CD" w:rsidRPr="008F6F93">
        <w:rPr>
          <w:rFonts w:ascii="仿宋" w:eastAsia="仿宋" w:hAnsi="仿宋" w:cs="Times New Roman"/>
          <w:color w:val="333333"/>
          <w:sz w:val="32"/>
          <w:szCs w:val="32"/>
        </w:rPr>
        <w:t>混合教学基本要求的</w:t>
      </w:r>
      <w:r w:rsidR="006C2209">
        <w:rPr>
          <w:rFonts w:ascii="仿宋" w:eastAsia="仿宋" w:hAnsi="仿宋" w:cs="Times New Roman"/>
          <w:color w:val="333333"/>
          <w:sz w:val="32"/>
          <w:szCs w:val="32"/>
        </w:rPr>
        <w:t>25</w:t>
      </w:r>
      <w:r w:rsidR="00346E67" w:rsidRPr="008F6F93">
        <w:rPr>
          <w:rFonts w:ascii="仿宋" w:eastAsia="仿宋" w:hAnsi="仿宋" w:cs="Times New Roman"/>
          <w:color w:val="333333"/>
          <w:sz w:val="32"/>
          <w:szCs w:val="32"/>
        </w:rPr>
        <w:t>门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(详见附件)</w:t>
      </w:r>
      <w:r w:rsidR="00346E67" w:rsidRPr="008F6F93">
        <w:rPr>
          <w:rFonts w:ascii="仿宋" w:eastAsia="仿宋" w:hAnsi="仿宋" w:cs="Times New Roman"/>
          <w:color w:val="333333"/>
          <w:sz w:val="32"/>
          <w:szCs w:val="32"/>
        </w:rPr>
        <w:t>，</w:t>
      </w:r>
      <w:r w:rsidR="002266FD" w:rsidRPr="008F6F93">
        <w:rPr>
          <w:rFonts w:ascii="仿宋" w:eastAsia="仿宋" w:hAnsi="仿宋" w:cs="Times New Roman"/>
          <w:color w:val="333333"/>
          <w:sz w:val="32"/>
          <w:szCs w:val="32"/>
        </w:rPr>
        <w:t>运行较好的</w:t>
      </w:r>
      <w:r w:rsidR="002266F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2</w:t>
      </w:r>
      <w:r w:rsidR="006C2209">
        <w:rPr>
          <w:rFonts w:ascii="仿宋" w:eastAsia="仿宋" w:hAnsi="仿宋" w:cs="Times New Roman"/>
          <w:color w:val="333333"/>
          <w:sz w:val="32"/>
          <w:szCs w:val="32"/>
        </w:rPr>
        <w:t>2</w:t>
      </w:r>
      <w:r w:rsidR="002266FD" w:rsidRPr="008F6F93">
        <w:rPr>
          <w:rFonts w:ascii="仿宋" w:eastAsia="仿宋" w:hAnsi="仿宋" w:cs="Times New Roman"/>
          <w:color w:val="333333"/>
          <w:sz w:val="32"/>
          <w:szCs w:val="32"/>
        </w:rPr>
        <w:t>门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；有</w:t>
      </w:r>
      <w:r w:rsidR="006C2209">
        <w:rPr>
          <w:rFonts w:ascii="仿宋" w:eastAsia="仿宋" w:hAnsi="仿宋" w:cs="Times New Roman"/>
          <w:color w:val="333333"/>
          <w:sz w:val="32"/>
          <w:szCs w:val="32"/>
        </w:rPr>
        <w:t>104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门课程未达到课程运行的基本要求</w:t>
      </w:r>
      <w:r w:rsidR="002266FD" w:rsidRPr="008F6F93">
        <w:rPr>
          <w:rFonts w:ascii="仿宋" w:eastAsia="仿宋" w:hAnsi="仿宋" w:cs="Times New Roman"/>
          <w:color w:val="333333"/>
          <w:sz w:val="32"/>
          <w:szCs w:val="32"/>
        </w:rPr>
        <w:t>。</w:t>
      </w:r>
    </w:p>
    <w:p w:rsidR="00A876E7" w:rsidRDefault="001349C2" w:rsidP="004F13D5">
      <w:pPr>
        <w:widowControl/>
        <w:spacing w:line="360" w:lineRule="auto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lastRenderedPageBreak/>
        <w:t>从</w:t>
      </w:r>
      <w:r w:rsidR="00AA0D8D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在线督导情况</w:t>
      </w:r>
      <w:r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看，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本学期开展线上线下混合式教学的部分</w:t>
      </w:r>
      <w:r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老师</w:t>
      </w:r>
      <w:r w:rsidR="0050247C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能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利用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在线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课程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，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进行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线上线下混合式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教学设计和实施混合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式</w:t>
      </w:r>
      <w:r w:rsidR="0050247C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教学，但</w:t>
      </w:r>
      <w:r w:rsidR="00FF4EA3">
        <w:rPr>
          <w:rFonts w:ascii="仿宋" w:eastAsia="仿宋" w:hAnsi="仿宋" w:cs="Times New Roman" w:hint="eastAsia"/>
          <w:color w:val="333333"/>
          <w:sz w:val="32"/>
          <w:szCs w:val="32"/>
        </w:rPr>
        <w:t>仍有</w:t>
      </w:r>
      <w:r w:rsidR="0050247C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部分老师</w:t>
      </w:r>
      <w:r w:rsidR="003B3EF5">
        <w:rPr>
          <w:rFonts w:ascii="仿宋" w:eastAsia="仿宋" w:hAnsi="仿宋" w:cs="Times New Roman" w:hint="eastAsia"/>
          <w:color w:val="333333"/>
          <w:sz w:val="32"/>
          <w:szCs w:val="32"/>
        </w:rPr>
        <w:t>对线上线下混合式教学研究不深入，理解不透彻，</w:t>
      </w:r>
      <w:r w:rsidR="00276FF6">
        <w:rPr>
          <w:rFonts w:ascii="仿宋" w:eastAsia="仿宋" w:hAnsi="仿宋" w:cs="Times New Roman" w:hint="eastAsia"/>
          <w:color w:val="333333"/>
          <w:sz w:val="32"/>
          <w:szCs w:val="32"/>
        </w:rPr>
        <w:t>混合式教学设计</w:t>
      </w:r>
      <w:r w:rsidR="00FF4EA3">
        <w:rPr>
          <w:rFonts w:ascii="仿宋" w:eastAsia="仿宋" w:hAnsi="仿宋" w:cs="Times New Roman" w:hint="eastAsia"/>
          <w:color w:val="333333"/>
          <w:sz w:val="32"/>
          <w:szCs w:val="32"/>
        </w:rPr>
        <w:t>不够完备，线上教学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数据分布</w:t>
      </w:r>
      <w:r w:rsidR="00FF4EA3">
        <w:rPr>
          <w:rFonts w:ascii="仿宋" w:eastAsia="仿宋" w:hAnsi="仿宋" w:cs="Times New Roman" w:hint="eastAsia"/>
          <w:color w:val="333333"/>
          <w:sz w:val="32"/>
          <w:szCs w:val="32"/>
        </w:rPr>
        <w:t>不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合理，</w:t>
      </w:r>
      <w:r w:rsidR="00FF4EA3">
        <w:rPr>
          <w:rFonts w:ascii="仿宋" w:eastAsia="仿宋" w:hAnsi="仿宋" w:cs="Times New Roman" w:hint="eastAsia"/>
          <w:color w:val="333333"/>
          <w:sz w:val="32"/>
          <w:szCs w:val="32"/>
        </w:rPr>
        <w:t>未能真正实现混合式教学的基本要求</w:t>
      </w:r>
      <w:r w:rsidR="00813802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。</w:t>
      </w:r>
    </w:p>
    <w:p w:rsidR="004F13D5" w:rsidRPr="008F6F93" w:rsidRDefault="00FF4EA3" w:rsidP="004F13D5">
      <w:pPr>
        <w:widowControl/>
        <w:spacing w:line="360" w:lineRule="auto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希望开展混合式教学的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老师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能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继续深入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学习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混合教学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的有关基本技能和标准</w:t>
      </w:r>
      <w:r w:rsidR="00A876E7">
        <w:rPr>
          <w:rFonts w:ascii="仿宋" w:eastAsia="仿宋" w:hAnsi="仿宋" w:cs="Times New Roman" w:hint="eastAsia"/>
          <w:color w:val="333333"/>
          <w:sz w:val="32"/>
          <w:szCs w:val="32"/>
        </w:rPr>
        <w:t>，合理安排教学活动，提高教学质量。</w:t>
      </w:r>
      <w:r w:rsidR="00767B48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各学院应</w:t>
      </w:r>
      <w:r w:rsidR="004F13D5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重视线上线下混合式教学活动的开展，有针对性地对本学院开展线上线下混合式教学的课程和教师进行</w:t>
      </w:r>
      <w:r w:rsidR="00EA3564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指导</w:t>
      </w:r>
      <w:r w:rsidR="004F13D5" w:rsidRPr="008F6F93">
        <w:rPr>
          <w:rFonts w:ascii="仿宋" w:eastAsia="仿宋" w:hAnsi="仿宋" w:cs="Times New Roman" w:hint="eastAsia"/>
          <w:color w:val="333333"/>
          <w:sz w:val="32"/>
          <w:szCs w:val="32"/>
        </w:rPr>
        <w:t>。应该组织学院教师开展对本学院线上线下混合式教学的学习、听课和教研活动，不断提高全体教师对线上线下混合式教学的认知和水平。</w:t>
      </w:r>
    </w:p>
    <w:p w:rsidR="000826A7" w:rsidRDefault="00FF4EA3" w:rsidP="00985340">
      <w:pPr>
        <w:widowControl/>
        <w:spacing w:line="525" w:lineRule="exact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本学期末，</w:t>
      </w:r>
      <w:r w:rsidR="00985340" w:rsidRPr="00985340">
        <w:rPr>
          <w:rFonts w:ascii="仿宋" w:eastAsia="仿宋" w:hAnsi="仿宋" w:cs="Times New Roman" w:hint="eastAsia"/>
          <w:color w:val="333333"/>
          <w:sz w:val="32"/>
          <w:szCs w:val="32"/>
        </w:rPr>
        <w:t>学校将对开展线下线下混合式教学的课程运行情况进行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终</w:t>
      </w:r>
      <w:r w:rsidR="002A6BB3">
        <w:rPr>
          <w:rFonts w:ascii="仿宋" w:eastAsia="仿宋" w:hAnsi="仿宋" w:cs="Times New Roman" w:hint="eastAsia"/>
          <w:color w:val="333333"/>
          <w:sz w:val="32"/>
          <w:szCs w:val="32"/>
        </w:rPr>
        <w:t>期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线上督导</w:t>
      </w:r>
      <w:r w:rsidR="00985340" w:rsidRPr="00985340">
        <w:rPr>
          <w:rFonts w:ascii="仿宋" w:eastAsia="仿宋" w:hAnsi="仿宋" w:cs="Times New Roman" w:hint="eastAsia"/>
          <w:color w:val="333333"/>
          <w:sz w:val="32"/>
          <w:szCs w:val="32"/>
        </w:rPr>
        <w:t>，对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未达到</w:t>
      </w:r>
      <w:r w:rsidR="00985340" w:rsidRPr="00985340">
        <w:rPr>
          <w:rFonts w:ascii="仿宋" w:eastAsia="仿宋" w:hAnsi="仿宋" w:cs="Times New Roman" w:hint="eastAsia"/>
          <w:color w:val="333333"/>
          <w:sz w:val="32"/>
          <w:szCs w:val="32"/>
        </w:rPr>
        <w:t>要求的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混合式教学课程，将不予认定。</w:t>
      </w:r>
    </w:p>
    <w:p w:rsidR="000826A7" w:rsidRPr="00FF4EA3" w:rsidRDefault="000826A7" w:rsidP="00985340">
      <w:pPr>
        <w:widowControl/>
        <w:spacing w:line="525" w:lineRule="exact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</w:p>
    <w:p w:rsidR="000826A7" w:rsidRDefault="00FF4EA3" w:rsidP="00985340">
      <w:pPr>
        <w:widowControl/>
        <w:spacing w:line="525" w:lineRule="exact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>附：2020-2021学年第一学期线上线下混合式教学线上</w:t>
      </w:r>
      <w:r w:rsidR="002A6BB3">
        <w:rPr>
          <w:rFonts w:ascii="仿宋" w:eastAsia="仿宋" w:hAnsi="仿宋" w:cs="Times New Roman" w:hint="eastAsia"/>
          <w:color w:val="333333"/>
          <w:sz w:val="32"/>
          <w:szCs w:val="32"/>
        </w:rPr>
        <w:t>中期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监控达到基本要求的课程一览表</w:t>
      </w:r>
    </w:p>
    <w:p w:rsidR="000826A7" w:rsidRPr="002A6BB3" w:rsidRDefault="000826A7" w:rsidP="00985340">
      <w:pPr>
        <w:widowControl/>
        <w:spacing w:line="525" w:lineRule="exact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</w:p>
    <w:p w:rsidR="000826A7" w:rsidRDefault="000826A7" w:rsidP="00985340">
      <w:pPr>
        <w:widowControl/>
        <w:spacing w:line="525" w:lineRule="exact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</w:p>
    <w:p w:rsidR="000826A7" w:rsidRDefault="000826A7" w:rsidP="00985340">
      <w:pPr>
        <w:widowControl/>
        <w:spacing w:line="525" w:lineRule="exact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/>
          <w:color w:val="333333"/>
          <w:sz w:val="32"/>
          <w:szCs w:val="32"/>
        </w:rPr>
        <w:t xml:space="preserve">                                   教务处</w:t>
      </w:r>
    </w:p>
    <w:p w:rsidR="002A6BB3" w:rsidRPr="000826A7" w:rsidRDefault="002A6BB3" w:rsidP="00985340">
      <w:pPr>
        <w:widowControl/>
        <w:spacing w:line="525" w:lineRule="exact"/>
        <w:ind w:firstLineChars="200" w:firstLine="640"/>
        <w:jc w:val="left"/>
        <w:rPr>
          <w:rFonts w:ascii="仿宋" w:eastAsia="仿宋" w:hAnsi="仿宋" w:cs="Times New Roman"/>
          <w:color w:val="333333"/>
          <w:sz w:val="32"/>
          <w:szCs w:val="32"/>
        </w:rPr>
      </w:pPr>
      <w:r>
        <w:rPr>
          <w:rFonts w:ascii="仿宋" w:eastAsia="仿宋" w:hAnsi="仿宋" w:cs="Times New Roman" w:hint="eastAsia"/>
          <w:color w:val="333333"/>
          <w:sz w:val="32"/>
          <w:szCs w:val="32"/>
        </w:rPr>
        <w:t xml:space="preserve">                              2020年</w:t>
      </w:r>
      <w:r w:rsidR="00FF2345">
        <w:rPr>
          <w:rFonts w:ascii="仿宋" w:eastAsia="仿宋" w:hAnsi="仿宋" w:cs="Times New Roman"/>
          <w:color w:val="333333"/>
          <w:sz w:val="32"/>
          <w:szCs w:val="32"/>
        </w:rPr>
        <w:t>12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月</w:t>
      </w:r>
      <w:r w:rsidR="00FF2345">
        <w:rPr>
          <w:rFonts w:ascii="仿宋" w:eastAsia="仿宋" w:hAnsi="仿宋" w:cs="Times New Roman"/>
          <w:color w:val="333333"/>
          <w:sz w:val="32"/>
          <w:szCs w:val="32"/>
        </w:rPr>
        <w:t>1</w:t>
      </w:r>
      <w:r>
        <w:rPr>
          <w:rFonts w:ascii="仿宋" w:eastAsia="仿宋" w:hAnsi="仿宋" w:cs="Times New Roman" w:hint="eastAsia"/>
          <w:color w:val="333333"/>
          <w:sz w:val="32"/>
          <w:szCs w:val="32"/>
        </w:rPr>
        <w:t>日</w:t>
      </w:r>
    </w:p>
    <w:sectPr w:rsidR="002A6BB3" w:rsidRPr="000826A7" w:rsidSect="001C1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D6F" w:rsidRDefault="00D10D6F" w:rsidP="003B3EF5">
      <w:r>
        <w:separator/>
      </w:r>
    </w:p>
  </w:endnote>
  <w:endnote w:type="continuationSeparator" w:id="0">
    <w:p w:rsidR="00D10D6F" w:rsidRDefault="00D10D6F" w:rsidP="003B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等线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D6F" w:rsidRDefault="00D10D6F" w:rsidP="003B3EF5">
      <w:r>
        <w:separator/>
      </w:r>
    </w:p>
  </w:footnote>
  <w:footnote w:type="continuationSeparator" w:id="0">
    <w:p w:rsidR="00D10D6F" w:rsidRDefault="00D10D6F" w:rsidP="003B3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3BC"/>
    <w:rsid w:val="000826A7"/>
    <w:rsid w:val="00101067"/>
    <w:rsid w:val="001349C2"/>
    <w:rsid w:val="001B711B"/>
    <w:rsid w:val="001C1DB1"/>
    <w:rsid w:val="0022122D"/>
    <w:rsid w:val="002266FD"/>
    <w:rsid w:val="00276FF6"/>
    <w:rsid w:val="002A6BB3"/>
    <w:rsid w:val="002E3214"/>
    <w:rsid w:val="002E7DE0"/>
    <w:rsid w:val="003363BC"/>
    <w:rsid w:val="00346E67"/>
    <w:rsid w:val="003B3EF5"/>
    <w:rsid w:val="004F13D5"/>
    <w:rsid w:val="0050247C"/>
    <w:rsid w:val="00643F4D"/>
    <w:rsid w:val="006C2209"/>
    <w:rsid w:val="006C33B4"/>
    <w:rsid w:val="006E551B"/>
    <w:rsid w:val="00717F8D"/>
    <w:rsid w:val="00767B48"/>
    <w:rsid w:val="00771158"/>
    <w:rsid w:val="007C3060"/>
    <w:rsid w:val="00813802"/>
    <w:rsid w:val="00896257"/>
    <w:rsid w:val="008F6F93"/>
    <w:rsid w:val="009270BA"/>
    <w:rsid w:val="00985340"/>
    <w:rsid w:val="009D183D"/>
    <w:rsid w:val="00A876E7"/>
    <w:rsid w:val="00AA0D8D"/>
    <w:rsid w:val="00B206CA"/>
    <w:rsid w:val="00B670CD"/>
    <w:rsid w:val="00D10D6F"/>
    <w:rsid w:val="00E02E61"/>
    <w:rsid w:val="00E927B9"/>
    <w:rsid w:val="00EA0B55"/>
    <w:rsid w:val="00EA3564"/>
    <w:rsid w:val="00F52133"/>
    <w:rsid w:val="00F70334"/>
    <w:rsid w:val="00FF2345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80877D-A6B0-43C1-8F10-93B311DA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D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13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3B3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B3EF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B3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B3E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2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7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王军华</dc:creator>
  <cp:lastModifiedBy>孙 文祥</cp:lastModifiedBy>
  <cp:revision>9</cp:revision>
  <dcterms:created xsi:type="dcterms:W3CDTF">2020-11-30T02:08:00Z</dcterms:created>
  <dcterms:modified xsi:type="dcterms:W3CDTF">2020-12-01T07:31:00Z</dcterms:modified>
</cp:coreProperties>
</file>